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B5D5BD" w14:textId="77777777" w:rsidR="006114FD" w:rsidRPr="006114FD" w:rsidRDefault="006114FD" w:rsidP="006114FD">
      <w:pPr>
        <w:spacing w:before="100" w:beforeAutospacing="1" w:after="100" w:afterAutospacing="1" w:line="360" w:lineRule="auto"/>
        <w:outlineLvl w:val="0"/>
        <w:rPr>
          <w:rFonts w:ascii="Arial" w:eastAsia="Times New Roman" w:hAnsi="Arial" w:cs="Arial"/>
          <w:b/>
          <w:bCs/>
          <w:kern w:val="36"/>
          <w:lang w:eastAsia="pl-PL"/>
          <w14:ligatures w14:val="none"/>
        </w:rPr>
      </w:pPr>
      <w:r w:rsidRPr="006114FD">
        <w:rPr>
          <w:rFonts w:ascii="Arial" w:eastAsia="Times New Roman" w:hAnsi="Arial" w:cs="Arial"/>
          <w:b/>
          <w:bCs/>
          <w:kern w:val="36"/>
          <w:lang w:eastAsia="pl-PL"/>
          <w14:ligatures w14:val="none"/>
        </w:rPr>
        <w:t>Jesienne aukcje OZE kluczowe dla przyszłości fotowoltaiki. System wsparcia wymaga dostosowania do nowych realiów rynku</w:t>
      </w:r>
    </w:p>
    <w:p w14:paraId="58D56663"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Jesienne aukcje OZE będą jednym z najważniejszych wydarzeń dla polskiej energetyki odnawialnej w 2026 roku. Od ich powodzenia zależy nie tylko tempo rozwoju nowych inwestycji, ale również to, czy Polska utrzyma dynamikę transformacji energetycznej w najbliższych latach.</w:t>
      </w:r>
    </w:p>
    <w:p w14:paraId="0DC5BCAF"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Fotowoltaika pozostaje dziś największym i najszybciej rozwijającym się źródłem odnawialnej energii w Polsce. W ciągu niespełna dekady funkcjonowania systemu aukcyjnego zakontraktowano ponad 10 GW nowych wielkoskalowych mocy PV. Mechanizm aukcyjny zapewnił inwestorom stabilność przychodów, umożliwił finansowanie projektów przez banki i przyczynił się do dynamicznego rozwoju sektora.</w:t>
      </w:r>
    </w:p>
    <w:p w14:paraId="75E43B72"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Jak podkreśla Polskie Stowarzyszenie Fotowoltaiki i Magazynowania Energii, </w:t>
      </w:r>
      <w:r w:rsidRPr="006114FD">
        <w:rPr>
          <w:rFonts w:ascii="Arial" w:eastAsia="Times New Roman" w:hAnsi="Arial" w:cs="Arial"/>
          <w:b/>
          <w:bCs/>
          <w:kern w:val="0"/>
          <w:lang w:eastAsia="pl-PL"/>
          <w14:ligatures w14:val="none"/>
        </w:rPr>
        <w:t>„kontynuacja transformacji energetycznej to polska racja stanu. W obecnej sytuacji rynkowej i geopolitycznej nie możemy sobie pozwolić jako państwo na brak tego instrumentu przyciągania inwestycji”</w:t>
      </w:r>
      <w:r w:rsidRPr="006114FD">
        <w:rPr>
          <w:rFonts w:ascii="Arial" w:eastAsia="Times New Roman" w:hAnsi="Arial" w:cs="Arial"/>
          <w:kern w:val="0"/>
          <w:lang w:eastAsia="pl-PL"/>
          <w14:ligatures w14:val="none"/>
        </w:rPr>
        <w:t>.</w:t>
      </w:r>
    </w:p>
    <w:p w14:paraId="4FC97541" w14:textId="77777777" w:rsidR="006114FD" w:rsidRPr="006114FD" w:rsidRDefault="006114FD" w:rsidP="006114FD">
      <w:pPr>
        <w:spacing w:before="100" w:beforeAutospacing="1" w:after="100" w:afterAutospacing="1" w:line="360" w:lineRule="auto"/>
        <w:outlineLvl w:val="1"/>
        <w:rPr>
          <w:rFonts w:ascii="Arial" w:eastAsia="Times New Roman" w:hAnsi="Arial" w:cs="Arial"/>
          <w:b/>
          <w:bCs/>
          <w:kern w:val="0"/>
          <w:lang w:eastAsia="pl-PL"/>
          <w14:ligatures w14:val="none"/>
        </w:rPr>
      </w:pPr>
      <w:r w:rsidRPr="006114FD">
        <w:rPr>
          <w:rFonts w:ascii="Arial" w:eastAsia="Times New Roman" w:hAnsi="Arial" w:cs="Arial"/>
          <w:b/>
          <w:bCs/>
          <w:kern w:val="0"/>
          <w:lang w:eastAsia="pl-PL"/>
          <w14:ligatures w14:val="none"/>
        </w:rPr>
        <w:t>Rynek zmienił się szybciej niż przepisy</w:t>
      </w:r>
    </w:p>
    <w:p w14:paraId="7EA42D94"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Choć sam mechanizm aukcyjny pozostaje skutecznym instrumentem wsparcia, warunki funkcjonowania rynku energii w ostatnich latach zmieniły się zasadniczo. Rosnące koszty finansowania, wyższe koszty realizacji inwestycji, wydłużające się procesy administracyjne oraz coraz częstsze ograniczanie pracy instalacji OZE powodują, że wiele projektów przestaje być opłacalnych na warunkach, które obowiązywały jeszcze kilka lat temu.</w:t>
      </w:r>
    </w:p>
    <w:p w14:paraId="7B758757"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Jednym z największych problemów jest gwałtownie rosnąca skala nierynkowego redysponowania, czyli przymusowego ograniczania produkcji energii z OZE przez operatora systemu przesyłowego.</w:t>
      </w:r>
    </w:p>
    <w:p w14:paraId="66D6091E"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Według najnowszych danych Forum Energii już 26 lipca 2026 r. skumulowany wolumen ograniczonej produkcji energii z OZE osiągnął 1382 </w:t>
      </w:r>
      <w:proofErr w:type="spellStart"/>
      <w:r w:rsidRPr="006114FD">
        <w:rPr>
          <w:rFonts w:ascii="Arial" w:eastAsia="Times New Roman" w:hAnsi="Arial" w:cs="Arial"/>
          <w:kern w:val="0"/>
          <w:lang w:eastAsia="pl-PL"/>
          <w14:ligatures w14:val="none"/>
        </w:rPr>
        <w:t>GWh</w:t>
      </w:r>
      <w:proofErr w:type="spellEnd"/>
      <w:r w:rsidRPr="006114FD">
        <w:rPr>
          <w:rFonts w:ascii="Arial" w:eastAsia="Times New Roman" w:hAnsi="Arial" w:cs="Arial"/>
          <w:kern w:val="0"/>
          <w:lang w:eastAsia="pl-PL"/>
          <w14:ligatures w14:val="none"/>
        </w:rPr>
        <w:t>, przekraczając poziom odnotowany w całym 2025 roku.</w:t>
      </w:r>
    </w:p>
    <w:p w14:paraId="3C28AF1F"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Co istotne, nie oznacza to, że odnawialnych źródeł energii w Polsce jest zbyt dużo. Wręcz przeciwnie. Rosnąca skala redysponowania pokazuje przede wszystkim, że rozwój OZE wyprzedził rozwój elastyczności systemu elektroenergetycznego. Potrzebne są magazyny energii, nowoczesne sieci oraz rozwiązania pozwalające lepiej zarządzać popytem i wykorzystywać energię w godzinach jej największej produkcji.</w:t>
      </w:r>
    </w:p>
    <w:p w14:paraId="7FD30F53"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Do czasu rozbudowy tej infrastruktury skutki ponoszą jednak inwestorzy.</w:t>
      </w:r>
    </w:p>
    <w:p w14:paraId="5EFFE5E7" w14:textId="77777777" w:rsidR="006114FD" w:rsidRPr="006114FD" w:rsidRDefault="006114FD" w:rsidP="006114FD">
      <w:pPr>
        <w:spacing w:before="100" w:beforeAutospacing="1" w:after="100" w:afterAutospacing="1" w:line="360" w:lineRule="auto"/>
        <w:outlineLvl w:val="1"/>
        <w:rPr>
          <w:rFonts w:ascii="Arial" w:eastAsia="Times New Roman" w:hAnsi="Arial" w:cs="Arial"/>
          <w:b/>
          <w:bCs/>
          <w:kern w:val="0"/>
          <w:lang w:eastAsia="pl-PL"/>
          <w14:ligatures w14:val="none"/>
        </w:rPr>
      </w:pPr>
      <w:r w:rsidRPr="006114FD">
        <w:rPr>
          <w:rFonts w:ascii="Arial" w:eastAsia="Times New Roman" w:hAnsi="Arial" w:cs="Arial"/>
          <w:b/>
          <w:bCs/>
          <w:kern w:val="0"/>
          <w:lang w:eastAsia="pl-PL"/>
          <w14:ligatures w14:val="none"/>
        </w:rPr>
        <w:t>Problemem nie jest aukcja. Problemem jest sposób rozliczeń</w:t>
      </w:r>
    </w:p>
    <w:p w14:paraId="1A23A769"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Coraz częstsze redysponowanie oraz rosnąca liczba godzin z ujemnymi cenami energii powodują, że nawet projekty objęte systemem aukcyjnym mają coraz większe problemy z utrzymaniem zakładanej rentowności.</w:t>
      </w:r>
    </w:p>
    <w:p w14:paraId="64DA2E79"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Jak podkreśla Maria </w:t>
      </w:r>
      <w:proofErr w:type="spellStart"/>
      <w:r w:rsidRPr="006114FD">
        <w:rPr>
          <w:rFonts w:ascii="Arial" w:eastAsia="Times New Roman" w:hAnsi="Arial" w:cs="Arial"/>
          <w:kern w:val="0"/>
          <w:lang w:eastAsia="pl-PL"/>
          <w14:ligatures w14:val="none"/>
        </w:rPr>
        <w:t>Kierska</w:t>
      </w:r>
      <w:proofErr w:type="spellEnd"/>
      <w:r w:rsidRPr="006114FD">
        <w:rPr>
          <w:rFonts w:ascii="Arial" w:eastAsia="Times New Roman" w:hAnsi="Arial" w:cs="Arial"/>
          <w:kern w:val="0"/>
          <w:lang w:eastAsia="pl-PL"/>
          <w14:ligatures w14:val="none"/>
        </w:rPr>
        <w:t>, radca prawny kancelarii DWF Polska, problem nie leży w samym mechanizmie aukcyjnym, lecz w sposobie jego rozliczania.</w:t>
      </w:r>
    </w:p>
    <w:p w14:paraId="2135D52A"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b/>
          <w:bCs/>
          <w:kern w:val="0"/>
          <w:lang w:eastAsia="pl-PL"/>
          <w14:ligatures w14:val="none"/>
        </w:rPr>
        <w:t>– System aukcyjny nie polega na sprzedaży energii państwu. To kontrakt różnicowy (CfD), który ma stabilizować przychody inwestora. Wytwórca sprzedaje energię na rynku po cenie obowiązującej w danej godzinie, a następnie rozlicza tzw. ujemne saldo z Zarządcą Rozliczeń. Problem polega na tym, że wyrównanie nie jest liczone od ceny, którą rzeczywiście uzyskał za energię, lecz od średniej ceny dobowej rynku. W przypadku fotowoltaiki prowadzi to do systematycznego zaniżania rzeczywistego poziomu wsparcia, ponieważ instalacje PV produkują energię głównie wtedy, gdy ceny energii są najniższe</w:t>
      </w:r>
      <w:r w:rsidRPr="006114FD">
        <w:rPr>
          <w:rFonts w:ascii="Arial" w:eastAsia="Times New Roman" w:hAnsi="Arial" w:cs="Arial"/>
          <w:kern w:val="0"/>
          <w:lang w:eastAsia="pl-PL"/>
          <w14:ligatures w14:val="none"/>
        </w:rPr>
        <w:t xml:space="preserve"> – wyjaśnia Maria </w:t>
      </w:r>
      <w:proofErr w:type="spellStart"/>
      <w:r w:rsidRPr="006114FD">
        <w:rPr>
          <w:rFonts w:ascii="Arial" w:eastAsia="Times New Roman" w:hAnsi="Arial" w:cs="Arial"/>
          <w:kern w:val="0"/>
          <w:lang w:eastAsia="pl-PL"/>
          <w14:ligatures w14:val="none"/>
        </w:rPr>
        <w:t>Kierska</w:t>
      </w:r>
      <w:proofErr w:type="spellEnd"/>
      <w:r w:rsidRPr="006114FD">
        <w:rPr>
          <w:rFonts w:ascii="Arial" w:eastAsia="Times New Roman" w:hAnsi="Arial" w:cs="Arial"/>
          <w:kern w:val="0"/>
          <w:lang w:eastAsia="pl-PL"/>
          <w14:ligatures w14:val="none"/>
        </w:rPr>
        <w:t>.</w:t>
      </w:r>
    </w:p>
    <w:p w14:paraId="293F73BE"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To właśnie dlatego inwestorzy coraz częściej wskazują, że mimo wygranej aukcji i objęcia systemem wsparcia ich sytuacja finansowa systematycznie się pogarsza. Dodatkowym problemem są obowiązujące przepisy dotyczące ujemnych cen energii. Instalacje, które weszły do systemu aukcyjnego od 2025 r., tracą możliwość rozliczenia energii w systemie wsparcia już od pierwszej godziny z ujemną ceną energii, podczas gdy starsze instalacje traciły to uprawnienie dopiero po sześciu kolejnych godzinach występowania cen ujemnych.</w:t>
      </w:r>
    </w:p>
    <w:p w14:paraId="0247FE71" w14:textId="77777777" w:rsidR="006114FD" w:rsidRPr="006114FD" w:rsidRDefault="006114FD" w:rsidP="006114FD">
      <w:pPr>
        <w:spacing w:before="100" w:beforeAutospacing="1" w:after="100" w:afterAutospacing="1" w:line="360" w:lineRule="auto"/>
        <w:outlineLvl w:val="1"/>
        <w:rPr>
          <w:rFonts w:ascii="Arial" w:eastAsia="Times New Roman" w:hAnsi="Arial" w:cs="Arial"/>
          <w:b/>
          <w:bCs/>
          <w:kern w:val="0"/>
          <w:lang w:eastAsia="pl-PL"/>
          <w14:ligatures w14:val="none"/>
        </w:rPr>
      </w:pPr>
      <w:r w:rsidRPr="006114FD">
        <w:rPr>
          <w:rFonts w:ascii="Arial" w:eastAsia="Times New Roman" w:hAnsi="Arial" w:cs="Arial"/>
          <w:b/>
          <w:bCs/>
          <w:kern w:val="0"/>
          <w:lang w:eastAsia="pl-PL"/>
          <w14:ligatures w14:val="none"/>
        </w:rPr>
        <w:t xml:space="preserve">Dlaczego </w:t>
      </w:r>
      <w:proofErr w:type="spellStart"/>
      <w:r w:rsidRPr="006114FD">
        <w:rPr>
          <w:rFonts w:ascii="Arial" w:eastAsia="Times New Roman" w:hAnsi="Arial" w:cs="Arial"/>
          <w:b/>
          <w:bCs/>
          <w:kern w:val="0"/>
          <w:lang w:eastAsia="pl-PL"/>
          <w14:ligatures w14:val="none"/>
        </w:rPr>
        <w:t>fotowoltaika</w:t>
      </w:r>
      <w:proofErr w:type="spellEnd"/>
      <w:r w:rsidRPr="006114FD">
        <w:rPr>
          <w:rFonts w:ascii="Arial" w:eastAsia="Times New Roman" w:hAnsi="Arial" w:cs="Arial"/>
          <w:b/>
          <w:bCs/>
          <w:kern w:val="0"/>
          <w:lang w:eastAsia="pl-PL"/>
          <w14:ligatures w14:val="none"/>
        </w:rPr>
        <w:t xml:space="preserve"> przegrywa z własnym profilem produkcji?</w:t>
      </w:r>
    </w:p>
    <w:p w14:paraId="1EF8F44B"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Kluczowym problemem jest obecnie tzw. koszt profilu produkcji energii z fotowoltaiki.</w:t>
      </w:r>
    </w:p>
    <w:p w14:paraId="4FC0A06A"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Instalacje PV produkują energię przede wszystkim w godzinach okołopołudniowych, kiedy ceny energii są najniższe. Tymczasem rozliczenia w systemie aukcyjnym opierają się na średniej cenie energii z całej doby (TGeBase), która uwzględnia również poranne i wieczorne godziny wysokich cen energii – wtedy, gdy instalacje fotowoltaiczne praktycznie nie produkują energii.</w:t>
      </w:r>
    </w:p>
    <w:p w14:paraId="2BD6D1B5"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W praktyce oznacza to, że system przyjmuje, iż producent energii sprzedał ją po cenie znacznie wyższej od tej, którą rzeczywiście uzyskał na rynku. W rezultacie otrzymuje niższe wyrównanie z systemu </w:t>
      </w:r>
      <w:proofErr w:type="gramStart"/>
      <w:r w:rsidRPr="006114FD">
        <w:rPr>
          <w:rFonts w:ascii="Arial" w:eastAsia="Times New Roman" w:hAnsi="Arial" w:cs="Arial"/>
          <w:kern w:val="0"/>
          <w:lang w:eastAsia="pl-PL"/>
          <w14:ligatures w14:val="none"/>
        </w:rPr>
        <w:t>aukcyjnego,</w:t>
      </w:r>
      <w:proofErr w:type="gramEnd"/>
      <w:r w:rsidRPr="006114FD">
        <w:rPr>
          <w:rFonts w:ascii="Arial" w:eastAsia="Times New Roman" w:hAnsi="Arial" w:cs="Arial"/>
          <w:kern w:val="0"/>
          <w:lang w:eastAsia="pl-PL"/>
          <w14:ligatures w14:val="none"/>
        </w:rPr>
        <w:t xml:space="preserve"> niż wynikałoby z jego faktycznych przychodów.</w:t>
      </w:r>
    </w:p>
    <w:p w14:paraId="6B37E65E"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b/>
          <w:bCs/>
          <w:kern w:val="0"/>
          <w:lang w:eastAsia="pl-PL"/>
          <w14:ligatures w14:val="none"/>
        </w:rPr>
        <w:t>– Potrzebujemy zmiany sposobu rozliczania instalacji fotowoltaicznych. Technicznie nie jest to skomplikowane. Giełda może wyliczać indeks odpowiadający rzeczywistemu profilowi produkcji energii z PV. Wymaga to przede wszystkim zmiany przepisów ustawy o OZE, aby rozliczenia nie opierały się na średniej cenie z całej doby, lecz na wskaźniku odzwierciedlającym godziny, w których instalacje fotowoltaiczne rzeczywiście produkują energię</w:t>
      </w:r>
      <w:r w:rsidRPr="006114FD">
        <w:rPr>
          <w:rFonts w:ascii="Arial" w:eastAsia="Times New Roman" w:hAnsi="Arial" w:cs="Arial"/>
          <w:kern w:val="0"/>
          <w:lang w:eastAsia="pl-PL"/>
          <w14:ligatures w14:val="none"/>
        </w:rPr>
        <w:t xml:space="preserve"> – mówi Maria </w:t>
      </w:r>
      <w:proofErr w:type="spellStart"/>
      <w:r w:rsidRPr="006114FD">
        <w:rPr>
          <w:rFonts w:ascii="Arial" w:eastAsia="Times New Roman" w:hAnsi="Arial" w:cs="Arial"/>
          <w:kern w:val="0"/>
          <w:lang w:eastAsia="pl-PL"/>
          <w14:ligatures w14:val="none"/>
        </w:rPr>
        <w:t>Kierska</w:t>
      </w:r>
      <w:proofErr w:type="spellEnd"/>
      <w:r w:rsidRPr="006114FD">
        <w:rPr>
          <w:rFonts w:ascii="Arial" w:eastAsia="Times New Roman" w:hAnsi="Arial" w:cs="Arial"/>
          <w:kern w:val="0"/>
          <w:lang w:eastAsia="pl-PL"/>
          <w14:ligatures w14:val="none"/>
        </w:rPr>
        <w:t>.</w:t>
      </w:r>
    </w:p>
    <w:p w14:paraId="53F3F691" w14:textId="446DE66D" w:rsidR="00092AF9" w:rsidRPr="002E7E61" w:rsidRDefault="008C4712">
      <w:pPr>
        <w:spacing w:before="100" w:beforeAutospacing="1" w:after="100" w:afterAutospacing="1" w:line="360" w:lineRule="auto"/>
        <w:rPr>
          <w:rFonts w:ascii="Arial" w:eastAsia="Times New Roman" w:hAnsi="Arial" w:cs="Arial"/>
          <w:bCs/>
          <w:kern w:val="0"/>
          <w:lang w:eastAsia="pl-PL"/>
          <w14:ligatures w14:val="none"/>
        </w:rPr>
      </w:pPr>
      <w:r w:rsidRPr="002E7E61">
        <w:rPr>
          <w:bCs/>
        </w:rPr>
        <w:t xml:space="preserve">– Z perspektywy inwestora najważniejszą zmianą do wdrożenia już teraz jest </w:t>
      </w:r>
      <w:r w:rsidR="00783154">
        <w:rPr>
          <w:bCs/>
        </w:rPr>
        <w:t xml:space="preserve">takie </w:t>
      </w:r>
      <w:r w:rsidRPr="002E7E61">
        <w:rPr>
          <w:bCs/>
        </w:rPr>
        <w:t xml:space="preserve">dostosowanie rozliczenia CfD </w:t>
      </w:r>
      <w:r w:rsidR="00783154">
        <w:rPr>
          <w:bCs/>
        </w:rPr>
        <w:t xml:space="preserve">dla PV, </w:t>
      </w:r>
      <w:r w:rsidR="00AA21E1">
        <w:rPr>
          <w:bCs/>
        </w:rPr>
        <w:t>a</w:t>
      </w:r>
      <w:r w:rsidR="00783154">
        <w:rPr>
          <w:bCs/>
        </w:rPr>
        <w:t>by zaadresować problem kosztu profilu</w:t>
      </w:r>
      <w:r w:rsidRPr="002E7E61">
        <w:rPr>
          <w:bCs/>
        </w:rPr>
        <w:t>. Odejście od rozliczania ujemnego salda wyłącznie według średniej ceny dobowej na rzecz modelu bliższego cenom godzinowym to kierunek, który pozwala lepiej odzwierciedlić rzeczywistą wartość energii wytwarzanej przez instalacje</w:t>
      </w:r>
      <w:r w:rsidR="00BB0BD6">
        <w:rPr>
          <w:bCs/>
        </w:rPr>
        <w:t xml:space="preserve"> PV </w:t>
      </w:r>
      <w:r w:rsidRPr="002E7E61">
        <w:rPr>
          <w:bCs/>
        </w:rPr>
        <w:t xml:space="preserve">– mówi Piotr Ciepiela, Dyrektor ds. Regulacji i Public </w:t>
      </w:r>
      <w:proofErr w:type="spellStart"/>
      <w:r w:rsidRPr="002E7E61">
        <w:rPr>
          <w:bCs/>
        </w:rPr>
        <w:t>Affairs</w:t>
      </w:r>
      <w:proofErr w:type="spellEnd"/>
      <w:r w:rsidRPr="002E7E61">
        <w:rPr>
          <w:bCs/>
        </w:rPr>
        <w:t xml:space="preserve"> w EDP.</w:t>
      </w:r>
    </w:p>
    <w:p w14:paraId="5A8D8747"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Podobne postulaty od dłuższego czasu zgłasza również Polskie Stowarzyszenie Fotowoltaiki i Magazynowania Energii, wskazując, że </w:t>
      </w:r>
      <w:r w:rsidRPr="006114FD">
        <w:rPr>
          <w:rFonts w:ascii="Arial" w:eastAsia="Times New Roman" w:hAnsi="Arial" w:cs="Arial"/>
          <w:b/>
          <w:bCs/>
          <w:kern w:val="0"/>
          <w:lang w:eastAsia="pl-PL"/>
          <w14:ligatures w14:val="none"/>
        </w:rPr>
        <w:t>„potrzebujemy pilnych zmian prawnych umożliwiających uwzględnienie w rozliczeniach aukcyjnych kosztów profilu produkcji energii z fotowoltaiki”</w:t>
      </w:r>
      <w:r w:rsidRPr="006114FD">
        <w:rPr>
          <w:rFonts w:ascii="Arial" w:eastAsia="Times New Roman" w:hAnsi="Arial" w:cs="Arial"/>
          <w:kern w:val="0"/>
          <w:lang w:eastAsia="pl-PL"/>
          <w14:ligatures w14:val="none"/>
        </w:rPr>
        <w:t>.</w:t>
      </w:r>
    </w:p>
    <w:p w14:paraId="028B94A0" w14:textId="77777777" w:rsidR="006114FD" w:rsidRPr="006114FD" w:rsidRDefault="006114FD" w:rsidP="006114FD">
      <w:pPr>
        <w:spacing w:before="100" w:beforeAutospacing="1" w:after="100" w:afterAutospacing="1" w:line="360" w:lineRule="auto"/>
        <w:outlineLvl w:val="1"/>
        <w:rPr>
          <w:rFonts w:ascii="Arial" w:eastAsia="Times New Roman" w:hAnsi="Arial" w:cs="Arial"/>
          <w:b/>
          <w:bCs/>
          <w:kern w:val="0"/>
          <w:lang w:eastAsia="pl-PL"/>
          <w14:ligatures w14:val="none"/>
        </w:rPr>
      </w:pPr>
      <w:r w:rsidRPr="006114FD">
        <w:rPr>
          <w:rFonts w:ascii="Arial" w:eastAsia="Times New Roman" w:hAnsi="Arial" w:cs="Arial"/>
          <w:b/>
          <w:bCs/>
          <w:kern w:val="0"/>
          <w:lang w:eastAsia="pl-PL"/>
          <w14:ligatures w14:val="none"/>
        </w:rPr>
        <w:t>Cena referencyjna nadal pozostaje kluczowa</w:t>
      </w:r>
    </w:p>
    <w:p w14:paraId="3FD16BD5"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Jednocześnie branża podkreśla, że powodzenie tegorocznych aukcji będzie zależało również od właściwego ustalenia ceny referencyjnej dla nowych projektów.</w:t>
      </w:r>
    </w:p>
    <w:p w14:paraId="60229C93"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Jak wskazuje PSFiME, </w:t>
      </w:r>
      <w:r w:rsidRPr="006114FD">
        <w:rPr>
          <w:rFonts w:ascii="Arial" w:eastAsia="Times New Roman" w:hAnsi="Arial" w:cs="Arial"/>
          <w:b/>
          <w:bCs/>
          <w:kern w:val="0"/>
          <w:lang w:eastAsia="pl-PL"/>
          <w14:ligatures w14:val="none"/>
        </w:rPr>
        <w:t>„kluczem do sukcesu aukcji pozostaje cena referencyjna”</w:t>
      </w:r>
      <w:r w:rsidRPr="006114FD">
        <w:rPr>
          <w:rFonts w:ascii="Arial" w:eastAsia="Times New Roman" w:hAnsi="Arial" w:cs="Arial"/>
          <w:kern w:val="0"/>
          <w:lang w:eastAsia="pl-PL"/>
          <w14:ligatures w14:val="none"/>
        </w:rPr>
        <w:t>. Powinna ona uwzględniać nie tylko nakłady inwestycyjne (CAPEX), ale również rosnące koszty operacyjne (OPEX), koszt finansowania, wydłużające się procesy inwestycyjne oraz nowe ryzyka wynikające z funkcjonowania rynku energii.</w:t>
      </w:r>
    </w:p>
    <w:p w14:paraId="2ADDAE36"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Doświadczenia ostatnich aukcji pokazują, że obecne parametry przestają odpowiadać realiom rynkowym. W aukcji przeprowadzonej w 2024 r. zakontraktowano jedynie około 36% oferowanego wolumenu energii. To wyraźny sygnał, że coraz mniej projektów jest w stanie konkurować w obowiązujących warunkach ekonomicznych.</w:t>
      </w:r>
    </w:p>
    <w:p w14:paraId="15711C4B" w14:textId="77777777" w:rsidR="006114FD" w:rsidRPr="006114FD" w:rsidRDefault="006114FD" w:rsidP="006114FD">
      <w:pPr>
        <w:spacing w:before="100" w:beforeAutospacing="1" w:after="100" w:afterAutospacing="1" w:line="360" w:lineRule="auto"/>
        <w:outlineLvl w:val="1"/>
        <w:rPr>
          <w:rFonts w:ascii="Arial" w:eastAsia="Times New Roman" w:hAnsi="Arial" w:cs="Arial"/>
          <w:b/>
          <w:bCs/>
          <w:kern w:val="0"/>
          <w:lang w:eastAsia="pl-PL"/>
          <w14:ligatures w14:val="none"/>
        </w:rPr>
      </w:pPr>
      <w:r w:rsidRPr="006114FD">
        <w:rPr>
          <w:rFonts w:ascii="Arial" w:eastAsia="Times New Roman" w:hAnsi="Arial" w:cs="Arial"/>
          <w:b/>
          <w:bCs/>
          <w:kern w:val="0"/>
          <w:lang w:eastAsia="pl-PL"/>
          <w14:ligatures w14:val="none"/>
        </w:rPr>
        <w:t>Coraz więcej gotowych projektów pozostaje na papierze</w:t>
      </w:r>
    </w:p>
    <w:p w14:paraId="2F573872"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Konsekwencje są już widoczne na rynku. Coraz więcej inwestycji posiada komplet decyzji środowiskowych, administracyjnych oraz warunki przyłączenia, jednak mimo to ich realizacja jest odkładana lub całkowicie wstrzymywana.</w:t>
      </w:r>
    </w:p>
    <w:p w14:paraId="401D4707"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Jak wskazuje PSFiME, </w:t>
      </w:r>
      <w:r w:rsidRPr="006114FD">
        <w:rPr>
          <w:rFonts w:ascii="Arial" w:eastAsia="Times New Roman" w:hAnsi="Arial" w:cs="Arial"/>
          <w:b/>
          <w:bCs/>
          <w:kern w:val="0"/>
          <w:lang w:eastAsia="pl-PL"/>
          <w14:ligatures w14:val="none"/>
        </w:rPr>
        <w:t>„coraz większa liczba projektów OZE jest odpisywana księgowo przez inwestorów, co oznacza, że mimo kompletnej dokumentacji administracyjnej najprawdopodobniej nie powstaną”</w:t>
      </w:r>
      <w:r w:rsidRPr="006114FD">
        <w:rPr>
          <w:rFonts w:ascii="Arial" w:eastAsia="Times New Roman" w:hAnsi="Arial" w:cs="Arial"/>
          <w:kern w:val="0"/>
          <w:lang w:eastAsia="pl-PL"/>
          <w14:ligatures w14:val="none"/>
        </w:rPr>
        <w:t>.</w:t>
      </w:r>
    </w:p>
    <w:p w14:paraId="3E3ABAAC"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Tymczasem przygotowanie projektu fotowoltaicznego do udziału w aukcji trwa często nawet pięć lat. To proces wymagający ogromnych nakładów zarówno po stronie inwestorów, jak i administracji publicznej. Niezrealizowanie takich projektów oznaczałoby zmarnowanie wieloletniej pracy oraz znacznych środków finansowych.</w:t>
      </w:r>
    </w:p>
    <w:p w14:paraId="4D18E672" w14:textId="69D5E818" w:rsidR="00CA00A3" w:rsidRPr="00D272CA" w:rsidRDefault="00CA00A3" w:rsidP="00CA00A3">
      <w:pPr>
        <w:spacing w:before="100" w:beforeAutospacing="1" w:after="100" w:afterAutospacing="1" w:line="360" w:lineRule="auto"/>
        <w:rPr>
          <w:rFonts w:ascii="Arial" w:eastAsia="Times New Roman" w:hAnsi="Arial" w:cs="Arial"/>
          <w:bCs/>
          <w:kern w:val="0"/>
          <w:lang w:eastAsia="pl-PL"/>
          <w14:ligatures w14:val="none"/>
        </w:rPr>
      </w:pPr>
      <w:r w:rsidRPr="00D272CA">
        <w:rPr>
          <w:bCs/>
        </w:rPr>
        <w:t>– Aukcje OZE powinny ewoluować, ale ich podstawowa funkcja pozostaje aktualna. Dobrze zaprojektowany dwustronny CfD to nie prost</w:t>
      </w:r>
      <w:r>
        <w:rPr>
          <w:bCs/>
        </w:rPr>
        <w:t>e</w:t>
      </w:r>
      <w:r w:rsidRPr="00D272CA">
        <w:rPr>
          <w:bCs/>
        </w:rPr>
        <w:t xml:space="preserve"> </w:t>
      </w:r>
      <w:r>
        <w:rPr>
          <w:bCs/>
        </w:rPr>
        <w:t xml:space="preserve">subsydium </w:t>
      </w:r>
      <w:r w:rsidRPr="00D272CA">
        <w:rPr>
          <w:bCs/>
        </w:rPr>
        <w:t>dla inwestora</w:t>
      </w:r>
      <w:r>
        <w:rPr>
          <w:bCs/>
        </w:rPr>
        <w:t xml:space="preserve"> (zwłaszcza że </w:t>
      </w:r>
      <w:r w:rsidRPr="00D272CA">
        <w:rPr>
          <w:bCs/>
        </w:rPr>
        <w:t xml:space="preserve">gdy ceny rynkowe przekraczają cenę </w:t>
      </w:r>
      <w:r>
        <w:rPr>
          <w:bCs/>
        </w:rPr>
        <w:t>ofertową z aukcji OZE</w:t>
      </w:r>
      <w:r w:rsidRPr="00D272CA">
        <w:rPr>
          <w:bCs/>
        </w:rPr>
        <w:t xml:space="preserve">, </w:t>
      </w:r>
      <w:r w:rsidR="0048164A">
        <w:rPr>
          <w:bCs/>
        </w:rPr>
        <w:t xml:space="preserve">to </w:t>
      </w:r>
      <w:r w:rsidRPr="00D272CA">
        <w:rPr>
          <w:bCs/>
        </w:rPr>
        <w:t>inwestor zwraca nadwyżkę</w:t>
      </w:r>
      <w:r>
        <w:rPr>
          <w:bCs/>
        </w:rPr>
        <w:t>)</w:t>
      </w:r>
      <w:r w:rsidRPr="00D272CA">
        <w:rPr>
          <w:bCs/>
        </w:rPr>
        <w:t>. To mechanizm ograniczania ryzyka inwestycyjnego, który stabilizuje przychody, obniża koszt kapitału i może ograniczać koszt energii dla odbiorców dzięki bardziej konkurencyjnym ofertom w aukcjach – mówi Piotr Ciepiela.</w:t>
      </w:r>
    </w:p>
    <w:p w14:paraId="6E183E3C" w14:textId="77777777" w:rsidR="006114FD" w:rsidRPr="006114FD" w:rsidRDefault="006114FD" w:rsidP="006114FD">
      <w:pPr>
        <w:spacing w:before="100" w:beforeAutospacing="1" w:after="100" w:afterAutospacing="1" w:line="360" w:lineRule="auto"/>
        <w:outlineLvl w:val="1"/>
        <w:rPr>
          <w:rFonts w:ascii="Arial" w:eastAsia="Times New Roman" w:hAnsi="Arial" w:cs="Arial"/>
          <w:b/>
          <w:bCs/>
          <w:kern w:val="0"/>
          <w:lang w:eastAsia="pl-PL"/>
          <w14:ligatures w14:val="none"/>
        </w:rPr>
      </w:pPr>
      <w:r w:rsidRPr="006114FD">
        <w:rPr>
          <w:rFonts w:ascii="Arial" w:eastAsia="Times New Roman" w:hAnsi="Arial" w:cs="Arial"/>
          <w:b/>
          <w:bCs/>
          <w:kern w:val="0"/>
          <w:lang w:eastAsia="pl-PL"/>
          <w14:ligatures w14:val="none"/>
        </w:rPr>
        <w:t>Aukcje wymagają ewolucji, a nie rewolucji</w:t>
      </w:r>
    </w:p>
    <w:p w14:paraId="44F07ADF" w14:textId="77777777" w:rsidR="00CA00A3"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Dzisiejsza sytuacja nie oznacza, że system aukcyjny przestał działać. Przeciwnie – pozostaje on najważniejszym instrumentem zapewniającym finansowanie nowych inwestycji. Wymaga jednak dostosowania do warunków rynku, który zmienił się znacznie szybciej niż obowiązujące przepisy.</w:t>
      </w:r>
    </w:p>
    <w:p w14:paraId="4CA41BBB" w14:textId="092AAB0B"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Potrzebne są trzy równoległe działania: odpowiednio skalkulowana cena referencyjna dla nowych aukcji, zmiana sposobu rozliczania projektów fotowoltaicznych tak, aby uwzględniał rzeczywisty profil produkcji </w:t>
      </w:r>
      <w:proofErr w:type="gramStart"/>
      <w:r w:rsidRPr="006114FD">
        <w:rPr>
          <w:rFonts w:ascii="Arial" w:eastAsia="Times New Roman" w:hAnsi="Arial" w:cs="Arial"/>
          <w:kern w:val="0"/>
          <w:lang w:eastAsia="pl-PL"/>
          <w14:ligatures w14:val="none"/>
        </w:rPr>
        <w:t>energii,</w:t>
      </w:r>
      <w:proofErr w:type="gramEnd"/>
      <w:r w:rsidRPr="006114FD">
        <w:rPr>
          <w:rFonts w:ascii="Arial" w:eastAsia="Times New Roman" w:hAnsi="Arial" w:cs="Arial"/>
          <w:kern w:val="0"/>
          <w:lang w:eastAsia="pl-PL"/>
          <w14:ligatures w14:val="none"/>
        </w:rPr>
        <w:t xml:space="preserve"> oraz przyspieszenie inwestycji w magazyny energii i elastyczność systemu elektroenergetycznego.</w:t>
      </w:r>
    </w:p>
    <w:p w14:paraId="4EC8BF55" w14:textId="77777777" w:rsidR="006114FD" w:rsidRPr="006114FD" w:rsidRDefault="006114FD" w:rsidP="006114FD">
      <w:pPr>
        <w:spacing w:before="100" w:beforeAutospacing="1" w:after="100" w:afterAutospacing="1" w:line="360" w:lineRule="auto"/>
        <w:rPr>
          <w:rFonts w:ascii="Arial" w:eastAsia="Times New Roman" w:hAnsi="Arial" w:cs="Arial"/>
          <w:kern w:val="0"/>
          <w:lang w:eastAsia="pl-PL"/>
          <w14:ligatures w14:val="none"/>
        </w:rPr>
      </w:pPr>
      <w:r w:rsidRPr="006114FD">
        <w:rPr>
          <w:rFonts w:ascii="Arial" w:eastAsia="Times New Roman" w:hAnsi="Arial" w:cs="Arial"/>
          <w:kern w:val="0"/>
          <w:lang w:eastAsia="pl-PL"/>
          <w14:ligatures w14:val="none"/>
        </w:rPr>
        <w:t xml:space="preserve">Jak podsumowuje Polskie Stowarzyszenie Fotowoltaiki i Magazynowania Energii, </w:t>
      </w:r>
      <w:r w:rsidRPr="006114FD">
        <w:rPr>
          <w:rFonts w:ascii="Arial" w:eastAsia="Times New Roman" w:hAnsi="Arial" w:cs="Arial"/>
          <w:b/>
          <w:bCs/>
          <w:kern w:val="0"/>
          <w:lang w:eastAsia="pl-PL"/>
          <w14:ligatures w14:val="none"/>
        </w:rPr>
        <w:t>„Polska gospodarka i polskie bezpieczeństwo energetyczne potrzebują dziś taniej, czystej energii. System aukcyjny – mimo że wymaga korekt – pozostaje obecnie najlepszym dostępnym mechanizmem ekonomicznym pozwalającym utrzymać tempo zielonej transformacji w Polsce.”</w:t>
      </w:r>
    </w:p>
    <w:p w14:paraId="73BEBA17" w14:textId="77777777" w:rsidR="00890C60" w:rsidRPr="006114FD" w:rsidRDefault="00890C60" w:rsidP="006114FD">
      <w:pPr>
        <w:spacing w:line="360" w:lineRule="auto"/>
        <w:rPr>
          <w:rFonts w:ascii="Arial" w:hAnsi="Arial" w:cs="Arial"/>
        </w:rPr>
      </w:pPr>
    </w:p>
    <w:sectPr w:rsidR="00890C60" w:rsidRPr="006114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C60"/>
    <w:rsid w:val="00092AF9"/>
    <w:rsid w:val="000D6175"/>
    <w:rsid w:val="001D6877"/>
    <w:rsid w:val="002445A0"/>
    <w:rsid w:val="002D0044"/>
    <w:rsid w:val="002E7E61"/>
    <w:rsid w:val="0036399F"/>
    <w:rsid w:val="0048164A"/>
    <w:rsid w:val="00504384"/>
    <w:rsid w:val="006114FD"/>
    <w:rsid w:val="00783154"/>
    <w:rsid w:val="00890C60"/>
    <w:rsid w:val="00A3014B"/>
    <w:rsid w:val="00AA21E1"/>
    <w:rsid w:val="00AB1FE0"/>
    <w:rsid w:val="00AD21DC"/>
    <w:rsid w:val="00BB0BD6"/>
    <w:rsid w:val="00C63606"/>
    <w:rsid w:val="00CA00A3"/>
    <w:rsid w:val="00D272CA"/>
    <w:rsid w:val="00DA52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A7B03"/>
  <w15:chartTrackingRefBased/>
  <w15:docId w15:val="{E8AE3C7E-DA53-5644-B196-6A9548B8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90C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890C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90C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90C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90C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90C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90C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90C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90C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90C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890C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90C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90C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90C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90C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90C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90C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90C60"/>
    <w:rPr>
      <w:rFonts w:eastAsiaTheme="majorEastAsia" w:cstheme="majorBidi"/>
      <w:color w:val="272727" w:themeColor="text1" w:themeTint="D8"/>
    </w:rPr>
  </w:style>
  <w:style w:type="paragraph" w:styleId="Tytu">
    <w:name w:val="Title"/>
    <w:basedOn w:val="Normalny"/>
    <w:next w:val="Normalny"/>
    <w:link w:val="TytuZnak"/>
    <w:uiPriority w:val="10"/>
    <w:qFormat/>
    <w:rsid w:val="00890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90C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90C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90C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90C60"/>
    <w:pPr>
      <w:spacing w:before="160"/>
      <w:jc w:val="center"/>
    </w:pPr>
    <w:rPr>
      <w:i/>
      <w:iCs/>
      <w:color w:val="404040" w:themeColor="text1" w:themeTint="BF"/>
    </w:rPr>
  </w:style>
  <w:style w:type="character" w:customStyle="1" w:styleId="CytatZnak">
    <w:name w:val="Cytat Znak"/>
    <w:basedOn w:val="Domylnaczcionkaakapitu"/>
    <w:link w:val="Cytat"/>
    <w:uiPriority w:val="29"/>
    <w:rsid w:val="00890C60"/>
    <w:rPr>
      <w:i/>
      <w:iCs/>
      <w:color w:val="404040" w:themeColor="text1" w:themeTint="BF"/>
    </w:rPr>
  </w:style>
  <w:style w:type="paragraph" w:styleId="Akapitzlist">
    <w:name w:val="List Paragraph"/>
    <w:basedOn w:val="Normalny"/>
    <w:uiPriority w:val="34"/>
    <w:qFormat/>
    <w:rsid w:val="00890C60"/>
    <w:pPr>
      <w:ind w:left="720"/>
      <w:contextualSpacing/>
    </w:pPr>
  </w:style>
  <w:style w:type="character" w:styleId="Wyrnienieintensywne">
    <w:name w:val="Intense Emphasis"/>
    <w:basedOn w:val="Domylnaczcionkaakapitu"/>
    <w:uiPriority w:val="21"/>
    <w:qFormat/>
    <w:rsid w:val="00890C60"/>
    <w:rPr>
      <w:i/>
      <w:iCs/>
      <w:color w:val="0F4761" w:themeColor="accent1" w:themeShade="BF"/>
    </w:rPr>
  </w:style>
  <w:style w:type="paragraph" w:styleId="Cytatintensywny">
    <w:name w:val="Intense Quote"/>
    <w:basedOn w:val="Normalny"/>
    <w:next w:val="Normalny"/>
    <w:link w:val="CytatintensywnyZnak"/>
    <w:uiPriority w:val="30"/>
    <w:qFormat/>
    <w:rsid w:val="00890C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90C60"/>
    <w:rPr>
      <w:i/>
      <w:iCs/>
      <w:color w:val="0F4761" w:themeColor="accent1" w:themeShade="BF"/>
    </w:rPr>
  </w:style>
  <w:style w:type="character" w:styleId="Odwoanieintensywne">
    <w:name w:val="Intense Reference"/>
    <w:basedOn w:val="Domylnaczcionkaakapitu"/>
    <w:uiPriority w:val="32"/>
    <w:qFormat/>
    <w:rsid w:val="00890C60"/>
    <w:rPr>
      <w:b/>
      <w:bCs/>
      <w:smallCaps/>
      <w:color w:val="0F4761" w:themeColor="accent1" w:themeShade="BF"/>
      <w:spacing w:val="5"/>
    </w:rPr>
  </w:style>
  <w:style w:type="paragraph" w:customStyle="1" w:styleId="p1">
    <w:name w:val="p1"/>
    <w:basedOn w:val="Normalny"/>
    <w:rsid w:val="00890C60"/>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p2">
    <w:name w:val="p2"/>
    <w:basedOn w:val="Normalny"/>
    <w:rsid w:val="00890C60"/>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s1">
    <w:name w:val="s1"/>
    <w:basedOn w:val="Domylnaczcionkaakapitu"/>
    <w:rsid w:val="0036399F"/>
  </w:style>
  <w:style w:type="paragraph" w:customStyle="1" w:styleId="p3">
    <w:name w:val="p3"/>
    <w:basedOn w:val="Normalny"/>
    <w:rsid w:val="006114FD"/>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styleId="Poprawka">
    <w:name w:val="Revision"/>
    <w:hidden/>
    <w:uiPriority w:val="99"/>
    <w:semiHidden/>
    <w:rsid w:val="002E7E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1273</Words>
  <Characters>7642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Ciepiela</dc:creator>
  <cp:keywords/>
  <dc:description/>
  <cp:lastModifiedBy>Piotr Ciepiela</cp:lastModifiedBy>
  <cp:revision>16</cp:revision>
  <dcterms:created xsi:type="dcterms:W3CDTF">2026-08-05T19:15:00Z</dcterms:created>
  <dcterms:modified xsi:type="dcterms:W3CDTF">2026-08-05T19:25:00Z</dcterms:modified>
</cp:coreProperties>
</file>